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7A" w:rsidRDefault="00923BA3">
      <w:pPr>
        <w:spacing w:before="40" w:after="0" w:line="240" w:lineRule="auto"/>
        <w:jc w:val="righ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22 Van Brunt Avenue</w:t>
      </w:r>
    </w:p>
    <w:p w:rsidR="00207E7A" w:rsidRDefault="00923BA3">
      <w:pPr>
        <w:spacing w:before="40" w:after="0" w:line="240" w:lineRule="auto"/>
        <w:jc w:val="righ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Dedham, MA 02026</w:t>
      </w:r>
    </w:p>
    <w:p w:rsidR="00207E7A" w:rsidRDefault="00923BA3">
      <w:pPr>
        <w:spacing w:before="40" w:after="0" w:line="240" w:lineRule="auto"/>
        <w:jc w:val="righ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617-999-3026</w:t>
      </w:r>
    </w:p>
    <w:p w:rsidR="00207E7A" w:rsidRDefault="00923BA3">
      <w:pPr>
        <w:spacing w:before="40" w:after="0" w:line="240" w:lineRule="auto"/>
        <w:jc w:val="right"/>
        <w:rPr>
          <w:color w:val="577188"/>
          <w:sz w:val="18"/>
          <w:szCs w:val="18"/>
        </w:rPr>
      </w:pPr>
      <w:r>
        <w:rPr>
          <w:color w:val="577188"/>
          <w:sz w:val="18"/>
          <w:szCs w:val="18"/>
        </w:rPr>
        <w:t>Spenceradams2007@gmail.com</w:t>
      </w:r>
    </w:p>
    <w:p w:rsidR="00207E7A" w:rsidRDefault="00923BA3">
      <w:pPr>
        <w:pBdr>
          <w:top w:val="single" w:sz="4" w:space="4" w:color="7E97AD"/>
          <w:left w:val="single" w:sz="4" w:space="6" w:color="7E97AD"/>
          <w:bottom w:val="single" w:sz="4" w:space="2" w:color="7E97AD"/>
          <w:right w:val="single" w:sz="4" w:space="6" w:color="7E97AD"/>
        </w:pBdr>
        <w:shd w:val="clear" w:color="auto" w:fill="577188"/>
        <w:spacing w:before="240" w:after="80" w:line="288" w:lineRule="auto"/>
        <w:ind w:left="144" w:right="144"/>
        <w:rPr>
          <w:rFonts w:ascii="Calibri" w:eastAsia="Calibri" w:hAnsi="Calibri" w:cs="Calibri"/>
          <w:smallCaps/>
          <w:color w:val="FFFFFF"/>
          <w:sz w:val="32"/>
          <w:szCs w:val="32"/>
        </w:rPr>
      </w:pPr>
      <w:r>
        <w:rPr>
          <w:rFonts w:ascii="Calibri" w:eastAsia="Calibri" w:hAnsi="Calibri" w:cs="Calibri"/>
          <w:smallCaps/>
          <w:color w:val="FFFFFF"/>
          <w:sz w:val="32"/>
          <w:szCs w:val="32"/>
        </w:rPr>
        <w:t>Spencer Adams</w:t>
      </w:r>
    </w:p>
    <w:tbl>
      <w:tblPr>
        <w:tblStyle w:val="a"/>
        <w:tblW w:w="10872" w:type="dxa"/>
        <w:tblBorders>
          <w:insideH w:val="single" w:sz="4" w:space="0" w:color="7E97AD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8445"/>
      </w:tblGrid>
      <w:tr w:rsidR="00207E7A">
        <w:tc>
          <w:tcPr>
            <w:tcW w:w="2427" w:type="dxa"/>
            <w:tcMar>
              <w:right w:w="475" w:type="dxa"/>
            </w:tcMar>
          </w:tcPr>
          <w:p w:rsidR="00207E7A" w:rsidRDefault="00923BA3">
            <w:pPr>
              <w:pStyle w:val="Heading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</w:t>
            </w:r>
          </w:p>
        </w:tc>
        <w:tc>
          <w:tcPr>
            <w:tcW w:w="8445" w:type="dxa"/>
          </w:tcPr>
          <w:p w:rsidR="00207E7A" w:rsidRDefault="00923BA3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Seasoned financial professional with extensive operating, corporate development and investment banking experience</w:t>
            </w:r>
          </w:p>
        </w:tc>
      </w:tr>
      <w:tr w:rsidR="00207E7A">
        <w:tc>
          <w:tcPr>
            <w:tcW w:w="2427" w:type="dxa"/>
            <w:tcMar>
              <w:right w:w="475" w:type="dxa"/>
            </w:tcMar>
          </w:tcPr>
          <w:p w:rsidR="00207E7A" w:rsidRDefault="00923BA3">
            <w:pPr>
              <w:pStyle w:val="Heading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experience</w:t>
            </w:r>
          </w:p>
        </w:tc>
        <w:tc>
          <w:tcPr>
            <w:tcW w:w="8445" w:type="dxa"/>
          </w:tcPr>
          <w:p w:rsidR="00207E7A" w:rsidRDefault="006E44D6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Chief Financial Officer</w:t>
            </w:r>
          </w:p>
          <w:p w:rsidR="00207E7A" w:rsidRDefault="006E44D6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 Health, Inc.</w:t>
            </w:r>
          </w:p>
          <w:p w:rsidR="00207E7A" w:rsidRDefault="002D0DFB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2016</w:t>
            </w:r>
            <w:r w:rsidR="00923B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923B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January 2018</w:t>
            </w:r>
          </w:p>
          <w:p w:rsidR="002D0DFB" w:rsidRDefault="002D0DFB" w:rsidP="002D0DFB">
            <w:pPr>
              <w:tabs>
                <w:tab w:val="left" w:pos="6670"/>
              </w:tabs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Responsible for comprehensive financial management of </w:t>
            </w:r>
            <w:r>
              <w:rPr>
                <w:sz w:val="18"/>
                <w:szCs w:val="18"/>
              </w:rPr>
              <w:t>50</w:t>
            </w:r>
            <w:r w:rsidR="00512D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person </w:t>
            </w:r>
            <w:r>
              <w:rPr>
                <w:sz w:val="18"/>
                <w:szCs w:val="18"/>
              </w:rPr>
              <w:t xml:space="preserve">patient experience </w:t>
            </w:r>
            <w:r>
              <w:rPr>
                <w:sz w:val="18"/>
                <w:szCs w:val="18"/>
              </w:rPr>
              <w:t xml:space="preserve">software and services business </w:t>
            </w:r>
            <w:r>
              <w:rPr>
                <w:sz w:val="18"/>
                <w:szCs w:val="18"/>
              </w:rPr>
              <w:t>focused on the healthcare provider market.</w:t>
            </w:r>
          </w:p>
          <w:p w:rsidR="002D0DFB" w:rsidRDefault="002D0DFB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Actively managed and o</w:t>
            </w:r>
            <w:r>
              <w:rPr>
                <w:sz w:val="18"/>
                <w:szCs w:val="18"/>
              </w:rPr>
              <w:t xml:space="preserve">versaw all aspects of financial administration and accounting including: financial reporting, cash management, revenue recognition, </w:t>
            </w:r>
            <w:r w:rsidR="00FA1F43">
              <w:rPr>
                <w:sz w:val="18"/>
                <w:szCs w:val="18"/>
              </w:rPr>
              <w:t xml:space="preserve">equity accounting, </w:t>
            </w:r>
            <w:r>
              <w:rPr>
                <w:sz w:val="18"/>
                <w:szCs w:val="18"/>
              </w:rPr>
              <w:t xml:space="preserve">accounts payable/receivable, payroll, FP&amp;A, </w:t>
            </w:r>
            <w:r w:rsidR="00512D73">
              <w:rPr>
                <w:sz w:val="18"/>
                <w:szCs w:val="18"/>
              </w:rPr>
              <w:t xml:space="preserve">benefits administration, </w:t>
            </w:r>
            <w:r w:rsidR="00FA1F43">
              <w:rPr>
                <w:sz w:val="18"/>
                <w:szCs w:val="18"/>
              </w:rPr>
              <w:t xml:space="preserve">insurance, </w:t>
            </w:r>
            <w:r>
              <w:rPr>
                <w:sz w:val="18"/>
                <w:szCs w:val="18"/>
              </w:rPr>
              <w:t xml:space="preserve">audit </w:t>
            </w:r>
            <w:r>
              <w:rPr>
                <w:sz w:val="18"/>
                <w:szCs w:val="18"/>
              </w:rPr>
              <w:t>and taxation.</w:t>
            </w:r>
          </w:p>
          <w:p w:rsidR="002D0DFB" w:rsidRDefault="002D0DFB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Appointed by Board of Directors to serves as Corporate Treasurer and Assistant Secretary.</w:t>
            </w:r>
          </w:p>
          <w:p w:rsidR="002D0DFB" w:rsidRDefault="002D0DFB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Partnered with CEO and founder to facilitate the closing of a $15MM series A financing led by Bessemer Venture Partners, NEA, and Maverick Ventures.</w:t>
            </w:r>
          </w:p>
          <w:p w:rsidR="0011099C" w:rsidRDefault="002D0DFB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Negotiated </w:t>
            </w:r>
            <w:r w:rsidR="0011099C">
              <w:rPr>
                <w:sz w:val="18"/>
                <w:szCs w:val="18"/>
              </w:rPr>
              <w:t xml:space="preserve">a complex </w:t>
            </w:r>
            <w:r>
              <w:rPr>
                <w:sz w:val="18"/>
                <w:szCs w:val="18"/>
              </w:rPr>
              <w:t>5 year, anchor customer</w:t>
            </w:r>
            <w:r w:rsidR="0011099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MSA with large </w:t>
            </w:r>
            <w:r w:rsidR="0011099C">
              <w:rPr>
                <w:sz w:val="18"/>
                <w:szCs w:val="18"/>
              </w:rPr>
              <w:t>healthcare provider operating over 40 hospitals across several states.</w:t>
            </w:r>
          </w:p>
          <w:p w:rsidR="0011099C" w:rsidRDefault="0011099C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Sourced and negotiated a $5mm</w:t>
            </w:r>
            <w:r w:rsidR="002D0D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venture credit facility with a leading national bank.</w:t>
            </w:r>
          </w:p>
          <w:p w:rsidR="002D0DFB" w:rsidRDefault="0011099C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Developed a proprietary multi variable ROI framework and model used to asses the potential financial impact for healthcare providers associated with improved patient experience and customer satisfaction.</w:t>
            </w:r>
          </w:p>
          <w:p w:rsidR="0011099C" w:rsidRDefault="0011099C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Developed a sophisticated subscription and MEA based pricing framework used extensively in financial planning and new customer development scoping</w:t>
            </w:r>
            <w:r w:rsidR="00FA1F43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pricing activities</w:t>
            </w:r>
            <w:r w:rsidR="00FA1F43">
              <w:rPr>
                <w:sz w:val="18"/>
                <w:szCs w:val="18"/>
              </w:rPr>
              <w:t>.</w:t>
            </w:r>
          </w:p>
          <w:p w:rsidR="00512D73" w:rsidRDefault="00512D73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Played leadership role in a variety of operational and strategic initiatives and activities including: product development, hiring/compensation, account management, organizational structure, and the evaluation of M&amp;A targets.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Chief financial officer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solutions, Inc. – Boston, MA</w:t>
            </w:r>
          </w:p>
          <w:p w:rsidR="00207E7A" w:rsidRDefault="00923BA3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2011 – January 2014</w:t>
            </w:r>
          </w:p>
          <w:p w:rsidR="00207E7A" w:rsidRDefault="00923BA3">
            <w:pPr>
              <w:tabs>
                <w:tab w:val="left" w:pos="6670"/>
              </w:tabs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Responsible for comprehensive financial management of 160 person enterprise software and IT services business with locations in the US and Hyderabad, India.  </w:t>
            </w:r>
          </w:p>
          <w:p w:rsidR="00207E7A" w:rsidRDefault="00923BA3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</w:t>
            </w:r>
            <w:r>
              <w:rPr>
                <w:sz w:val="18"/>
                <w:szCs w:val="18"/>
              </w:rPr>
              <w:t>rsaw all aspects of financial administration and accounting including: financial reporting, cash management, revenue recognition, accounts payable/receivable, payroll, FP&amp;A, pricing, and taxation.</w:t>
            </w:r>
          </w:p>
          <w:p w:rsidR="00207E7A" w:rsidRDefault="00923BA3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Played leadership role in negotiation of all major customer, vendor, strategic partnership, and distribution agreements.</w:t>
            </w:r>
          </w:p>
          <w:p w:rsidR="00207E7A" w:rsidRDefault="00923BA3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Designed, developed, and implemented sophisticated KPI infrastructure and dashboards </w:t>
            </w:r>
            <w:r>
              <w:rPr>
                <w:sz w:val="18"/>
                <w:szCs w:val="18"/>
              </w:rPr>
              <w:lastRenderedPageBreak/>
              <w:t>to help measure and report financial and non-finan</w:t>
            </w:r>
            <w:r>
              <w:rPr>
                <w:sz w:val="18"/>
                <w:szCs w:val="18"/>
              </w:rPr>
              <w:t>cial performance drivers at a company, division, customer and project level.</w:t>
            </w:r>
          </w:p>
          <w:p w:rsidR="00207E7A" w:rsidRDefault="00923BA3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Partnered with CEO, CTO and outsourced development vendors to lead the transition of company’s business model from fee for service to license/SaaS.  Initiative was instrumental in</w:t>
            </w:r>
            <w:r>
              <w:rPr>
                <w:sz w:val="18"/>
                <w:szCs w:val="18"/>
              </w:rPr>
              <w:t xml:space="preserve"> facilitating the company’s 45% 3 year CAGR in revenue and an expansion in gross profit margin from 39% to 62%.</w:t>
            </w:r>
          </w:p>
          <w:p w:rsidR="00207E7A" w:rsidRDefault="00923BA3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Served as the primary company spokesman and interface with venture capital firms, lenders, investment bankers, outside accountants, taxation aut</w:t>
            </w:r>
            <w:r>
              <w:rPr>
                <w:sz w:val="18"/>
                <w:szCs w:val="18"/>
              </w:rPr>
              <w:t>horities and the media.</w:t>
            </w:r>
          </w:p>
          <w:p w:rsidR="00207E7A" w:rsidRDefault="00923BA3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0" w:right="1440"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Initiated and led effort that resulted in the acquisition of the company by Houghton Mifflin Harcourt (NASDAQ; HMHC). In this capacity prepared all collateral selling materials, built detailed bottom up financial forecast and synerg</w:t>
            </w:r>
            <w:r>
              <w:rPr>
                <w:sz w:val="18"/>
                <w:szCs w:val="18"/>
              </w:rPr>
              <w:t>y models, performed extensive valuation analysis (DCF, Comps and Precedent Transactions), assembled electronic data room, managed due diligence process, coordinated outside legal &amp; accounting advisors, and negotiated LOI and Definitive Stock Purchase Agree</w:t>
            </w:r>
            <w:r>
              <w:rPr>
                <w:sz w:val="18"/>
                <w:szCs w:val="18"/>
              </w:rPr>
              <w:t>ment.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Founder and Managing Member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 Advisors – Boston, MA</w:t>
            </w:r>
          </w:p>
          <w:p w:rsidR="00207E7A" w:rsidRDefault="00923BA3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2007– </w:t>
            </w:r>
            <w:r w:rsidR="00512D73">
              <w:rPr>
                <w:sz w:val="18"/>
                <w:szCs w:val="18"/>
              </w:rPr>
              <w:t>Present</w:t>
            </w:r>
          </w:p>
          <w:p w:rsidR="00207E7A" w:rsidRDefault="00923BA3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Provided blended operational, strategic and financial consulting services to middle market and emerging growth companies. </w:t>
            </w:r>
          </w:p>
          <w:p w:rsidR="00207E7A" w:rsidRDefault="00923BA3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included: capital needs assessment and formation, project and company level FP&amp;A, budgeting and variance reporting, competitive landscape analysis, complex financial modeling, KPI framework development, due diligence preparation and support, busin</w:t>
            </w:r>
            <w:r>
              <w:rPr>
                <w:sz w:val="18"/>
                <w:szCs w:val="18"/>
              </w:rPr>
              <w:t>ess plan/investment memorandum drafting, and strategic partnership structuring.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President corporate development &amp; strategic planning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kessler group – Boston, MA</w:t>
            </w:r>
          </w:p>
          <w:p w:rsidR="00207E7A" w:rsidRDefault="00923BA3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2004 – January 2007</w:t>
            </w:r>
          </w:p>
          <w:p w:rsidR="00207E7A" w:rsidRDefault="00923BA3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Reported directly to the Vice Chairman of 250 person niche co</w:t>
            </w:r>
            <w:r>
              <w:rPr>
                <w:sz w:val="18"/>
                <w:szCs w:val="18"/>
              </w:rPr>
              <w:t>nsulting and investment banking firm focused on the affinity market within the personal financial services industry.</w:t>
            </w:r>
          </w:p>
          <w:p w:rsidR="00207E7A" w:rsidRDefault="00923BA3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  <w:tab w:val="left" w:pos="27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Developed, negotiated and managed strategic marketing and technology partnerships with and between leading global financial institutions in</w:t>
            </w:r>
            <w:r>
              <w:rPr>
                <w:sz w:val="18"/>
                <w:szCs w:val="18"/>
              </w:rPr>
              <w:t xml:space="preserve">cluding BofA, MBNA, Citibank, HSBC, Providian Financial and ETrade, </w:t>
            </w:r>
          </w:p>
          <w:p w:rsidR="00207E7A" w:rsidRDefault="00923BA3" w:rsidP="00FA1F4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  <w:tab w:val="left" w:pos="27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Executed in excess of $1 billio</w:t>
            </w:r>
            <w:r>
              <w:rPr>
                <w:sz w:val="18"/>
                <w:szCs w:val="18"/>
              </w:rPr>
              <w:t xml:space="preserve">n in asset portfolio acquisitions and divestitures for financial institution clients.  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Chief financial officer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empact solutions – New york, ny</w:t>
            </w:r>
          </w:p>
          <w:p w:rsidR="00207E7A" w:rsidRDefault="00923BA3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2002 – February 2004</w:t>
            </w:r>
          </w:p>
          <w:p w:rsidR="00207E7A" w:rsidRDefault="00923BA3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 for the financial management of venture funded, development stage, ent</w:t>
            </w:r>
            <w:r>
              <w:rPr>
                <w:sz w:val="18"/>
                <w:szCs w:val="18"/>
              </w:rPr>
              <w:t>erprise infrastructure software company.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President Technology investment banking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deutsche bank securities – Boston, MA</w:t>
            </w:r>
          </w:p>
          <w:p w:rsidR="00207E7A" w:rsidRDefault="00923BA3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1999 – June 2002</w:t>
            </w:r>
          </w:p>
          <w:p w:rsidR="00207E7A" w:rsidRDefault="00923BA3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 for the leadership and execution of over $2.2 billion in corporate finance and M&amp;A transaction</w:t>
            </w:r>
            <w:r>
              <w:rPr>
                <w:sz w:val="18"/>
                <w:szCs w:val="18"/>
              </w:rPr>
              <w:t>s.</w:t>
            </w:r>
          </w:p>
          <w:p w:rsidR="00207E7A" w:rsidRDefault="00923BA3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 transaction and advisory experience included: IPOs, follow-on offerings, convertible debt, private equity placements, M&amp;A, and fairness opinions.</w:t>
            </w:r>
          </w:p>
          <w:p w:rsidR="00512D73" w:rsidRDefault="00512D73">
            <w:pPr>
              <w:ind w:right="1440"/>
              <w:rPr>
                <w:sz w:val="18"/>
                <w:szCs w:val="18"/>
              </w:rPr>
            </w:pPr>
          </w:p>
        </w:tc>
      </w:tr>
      <w:tr w:rsidR="00207E7A">
        <w:tc>
          <w:tcPr>
            <w:tcW w:w="2427" w:type="dxa"/>
            <w:tcMar>
              <w:right w:w="475" w:type="dxa"/>
            </w:tcMar>
          </w:tcPr>
          <w:p w:rsidR="00207E7A" w:rsidRDefault="00923BA3">
            <w:pPr>
              <w:pStyle w:val="Heading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Teaching experience</w:t>
            </w:r>
          </w:p>
        </w:tc>
        <w:tc>
          <w:tcPr>
            <w:tcW w:w="8445" w:type="dxa"/>
          </w:tcPr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Adjunct Faculty, Business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Babson College – Wellesly, MA</w:t>
            </w:r>
          </w:p>
          <w:p w:rsidR="00207E7A" w:rsidRDefault="00923BA3">
            <w:pPr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2010 - Present</w:t>
            </w:r>
          </w:p>
          <w:p w:rsidR="00207E7A" w:rsidRDefault="00923BA3">
            <w:pPr>
              <w:tabs>
                <w:tab w:val="left" w:pos="6670"/>
              </w:tabs>
              <w:ind w:righ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 advanced elective undergraduate courses in corporate finance and decision science. Responsible for all aspects of instruction including curriculum development and course design.</w:t>
            </w:r>
          </w:p>
        </w:tc>
      </w:tr>
      <w:tr w:rsidR="00207E7A">
        <w:tc>
          <w:tcPr>
            <w:tcW w:w="2427" w:type="dxa"/>
            <w:tcMar>
              <w:right w:w="475" w:type="dxa"/>
            </w:tcMar>
          </w:tcPr>
          <w:p w:rsidR="00207E7A" w:rsidRDefault="00923BA3">
            <w:pPr>
              <w:pStyle w:val="Heading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8445" w:type="dxa"/>
          </w:tcPr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amos tuck school of business at </w:t>
            </w:r>
            <w:r>
              <w:rPr>
                <w:sz w:val="18"/>
                <w:szCs w:val="18"/>
              </w:rPr>
              <w:t>dartmouth college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Masters of Business administration, 1997</w:t>
            </w:r>
          </w:p>
          <w:p w:rsidR="00207E7A" w:rsidRDefault="00207E7A">
            <w:pPr>
              <w:ind w:right="1440"/>
            </w:pP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george washington university</w:t>
            </w:r>
          </w:p>
          <w:p w:rsidR="00207E7A" w:rsidRDefault="00923BA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 of arts, 1992</w:t>
            </w:r>
          </w:p>
          <w:p w:rsidR="00207E7A" w:rsidRDefault="00923BA3" w:rsidP="00512D73">
            <w:pPr>
              <w:numPr>
                <w:ilvl w:val="0"/>
                <w:numId w:val="1"/>
              </w:numPr>
              <w:tabs>
                <w:tab w:val="left" w:pos="100"/>
                <w:tab w:val="left" w:pos="181"/>
              </w:tabs>
              <w:ind w:left="10" w:right="1440" w:firstLine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Academic Awards</w:t>
            </w:r>
            <w:r>
              <w:rPr>
                <w:sz w:val="18"/>
                <w:szCs w:val="18"/>
              </w:rPr>
              <w:t>: Phi Beta Kappa, Columbian College Distinguished Scholar, GW Presidential Scholar, Golden Key National Honor Society.</w:t>
            </w:r>
          </w:p>
        </w:tc>
      </w:tr>
      <w:tr w:rsidR="00207E7A">
        <w:tc>
          <w:tcPr>
            <w:tcW w:w="2427" w:type="dxa"/>
            <w:tcMar>
              <w:right w:w="475" w:type="dxa"/>
            </w:tcMar>
          </w:tcPr>
          <w:p w:rsidR="00207E7A" w:rsidRDefault="00207E7A">
            <w:pPr>
              <w:pStyle w:val="Heading1"/>
              <w:outlineLvl w:val="0"/>
              <w:rPr>
                <w:sz w:val="18"/>
                <w:szCs w:val="18"/>
              </w:rPr>
            </w:pPr>
          </w:p>
        </w:tc>
        <w:tc>
          <w:tcPr>
            <w:tcW w:w="8445" w:type="dxa"/>
          </w:tcPr>
          <w:p w:rsidR="00207E7A" w:rsidRDefault="00207E7A">
            <w:pPr>
              <w:ind w:right="1440"/>
              <w:rPr>
                <w:sz w:val="18"/>
                <w:szCs w:val="18"/>
              </w:rPr>
            </w:pPr>
          </w:p>
        </w:tc>
      </w:tr>
    </w:tbl>
    <w:p w:rsidR="00207E7A" w:rsidRDefault="00207E7A">
      <w:pPr>
        <w:rPr>
          <w:sz w:val="18"/>
          <w:szCs w:val="18"/>
        </w:rPr>
      </w:pPr>
      <w:bookmarkStart w:id="1" w:name="_GoBack"/>
      <w:bookmarkEnd w:id="1"/>
    </w:p>
    <w:sectPr w:rsidR="00207E7A">
      <w:footerReference w:type="default" r:id="rId7"/>
      <w:pgSz w:w="12240" w:h="15840"/>
      <w:pgMar w:top="1080" w:right="288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A3" w:rsidRDefault="00923BA3">
      <w:pPr>
        <w:spacing w:after="0" w:line="240" w:lineRule="auto"/>
      </w:pPr>
      <w:r>
        <w:separator/>
      </w:r>
    </w:p>
  </w:endnote>
  <w:endnote w:type="continuationSeparator" w:id="0">
    <w:p w:rsidR="00923BA3" w:rsidRDefault="0092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7A" w:rsidRDefault="00923BA3">
    <w:pPr>
      <w:pBdr>
        <w:top w:val="single" w:sz="4" w:space="6" w:color="B1C0CD"/>
        <w:left w:val="single" w:sz="4" w:space="4" w:color="FFFFFF"/>
      </w:pBdr>
      <w:spacing w:after="0" w:line="240" w:lineRule="auto"/>
      <w:ind w:left="-360" w:right="-360"/>
      <w:rPr>
        <w:color w:val="595959"/>
        <w:sz w:val="20"/>
        <w:szCs w:val="20"/>
      </w:rPr>
    </w:pPr>
    <w:r>
      <w:rPr>
        <w:color w:val="595959"/>
        <w:sz w:val="20"/>
        <w:szCs w:val="20"/>
      </w:rPr>
      <w:t xml:space="preserve">Spencer Adams - Page </w:t>
    </w:r>
    <w:r>
      <w:rPr>
        <w:color w:val="595959"/>
        <w:sz w:val="20"/>
        <w:szCs w:val="20"/>
      </w:rPr>
      <w:fldChar w:fldCharType="begin"/>
    </w:r>
    <w:r>
      <w:rPr>
        <w:color w:val="595959"/>
        <w:sz w:val="20"/>
        <w:szCs w:val="20"/>
      </w:rPr>
      <w:instrText>PAGE</w:instrText>
    </w:r>
    <w:r w:rsidR="00BC5A68">
      <w:rPr>
        <w:color w:val="595959"/>
        <w:sz w:val="20"/>
        <w:szCs w:val="20"/>
      </w:rPr>
      <w:fldChar w:fldCharType="separate"/>
    </w:r>
    <w:r w:rsidR="00512D73">
      <w:rPr>
        <w:noProof/>
        <w:color w:val="595959"/>
        <w:sz w:val="20"/>
        <w:szCs w:val="20"/>
      </w:rPr>
      <w:t>2</w:t>
    </w:r>
    <w:r>
      <w:rPr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A3" w:rsidRDefault="00923BA3">
      <w:pPr>
        <w:spacing w:after="0" w:line="240" w:lineRule="auto"/>
      </w:pPr>
      <w:r>
        <w:separator/>
      </w:r>
    </w:p>
  </w:footnote>
  <w:footnote w:type="continuationSeparator" w:id="0">
    <w:p w:rsidR="00923BA3" w:rsidRDefault="0092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62DC5"/>
    <w:multiLevelType w:val="hybridMultilevel"/>
    <w:tmpl w:val="31C0E52C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75FB7826"/>
    <w:multiLevelType w:val="multilevel"/>
    <w:tmpl w:val="27AE8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E7A"/>
    <w:rsid w:val="0011099C"/>
    <w:rsid w:val="00207E7A"/>
    <w:rsid w:val="002D0DFB"/>
    <w:rsid w:val="00512D73"/>
    <w:rsid w:val="006E44D6"/>
    <w:rsid w:val="00923BA3"/>
    <w:rsid w:val="00BC5A68"/>
    <w:rsid w:val="00F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E080"/>
  <w15:docId w15:val="{AF67650C-3547-498B-A455-E87D771F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80" w:line="288" w:lineRule="auto"/>
      <w:jc w:val="right"/>
      <w:outlineLvl w:val="0"/>
    </w:pPr>
    <w:rPr>
      <w:rFonts w:ascii="Calibri" w:eastAsia="Calibri" w:hAnsi="Calibri" w:cs="Calibri"/>
      <w:smallCaps/>
      <w:color w:val="577188"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after="40" w:line="288" w:lineRule="auto"/>
      <w:outlineLvl w:val="1"/>
    </w:pPr>
    <w:rPr>
      <w:rFonts w:ascii="Calibri" w:eastAsia="Calibri" w:hAnsi="Calibri" w:cs="Calibri"/>
      <w:b/>
      <w:smallCaps/>
      <w:color w:val="40404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394B5B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" w:eastAsia="Calibri" w:hAnsi="Calibri" w:cs="Calibri"/>
      <w:i/>
      <w:color w:val="577188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" w:eastAsia="Calibri" w:hAnsi="Calibri" w:cs="Calibri"/>
      <w:color w:val="577188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" w:eastAsia="Calibri" w:hAnsi="Calibri" w:cs="Calibri"/>
      <w:color w:val="394B5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80" w:line="288" w:lineRule="auto"/>
    </w:pPr>
    <w:rPr>
      <w:color w:val="595959"/>
      <w:sz w:val="20"/>
      <w:szCs w:val="20"/>
    </w:rPr>
    <w:tblPr>
      <w:tblStyleRowBandSize w:val="1"/>
      <w:tblStyleColBandSize w:val="1"/>
      <w:tblCellMar>
        <w:top w:w="144" w:type="dxa"/>
        <w:left w:w="0" w:type="dxa"/>
        <w:bottom w:w="144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Adams</dc:creator>
  <cp:lastModifiedBy>Spencer Adams</cp:lastModifiedBy>
  <cp:revision>2</cp:revision>
  <cp:lastPrinted>2018-01-12T17:30:00Z</cp:lastPrinted>
  <dcterms:created xsi:type="dcterms:W3CDTF">2018-01-12T18:18:00Z</dcterms:created>
  <dcterms:modified xsi:type="dcterms:W3CDTF">2018-01-12T18:18:00Z</dcterms:modified>
</cp:coreProperties>
</file>